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4CB" w14:textId="5DFCEFE7" w:rsidR="00FE7A02" w:rsidRPr="000A39FF" w:rsidRDefault="00FF694B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 w:rsidRPr="000A39FF">
        <w:rPr>
          <w:rFonts w:ascii="Invesco Interstate Bold" w:hAnsi="Invesco Interstate Bold"/>
          <w:b/>
          <w:bCs/>
          <w:sz w:val="28"/>
          <w:szCs w:val="28"/>
        </w:rPr>
        <w:t>Celkový obrázek:</w:t>
      </w:r>
      <w:r w:rsidR="000A39FF">
        <w:rPr>
          <w:rFonts w:ascii="Invesco Interstate Bold" w:hAnsi="Invesco Interstate Bold"/>
          <w:b/>
          <w:bCs/>
          <w:sz w:val="28"/>
          <w:szCs w:val="28"/>
        </w:rPr>
        <w:t xml:space="preserve"> J</w:t>
      </w:r>
      <w:r w:rsidRPr="000A39FF">
        <w:rPr>
          <w:rFonts w:ascii="Invesco Interstate Bold" w:hAnsi="Invesco Interstate Bold"/>
          <w:b/>
          <w:bCs/>
          <w:sz w:val="28"/>
          <w:szCs w:val="28"/>
        </w:rPr>
        <w:t xml:space="preserve">aká bude </w:t>
      </w:r>
      <w:r w:rsidR="000A39FF">
        <w:rPr>
          <w:rFonts w:ascii="Invesco Interstate Bold" w:hAnsi="Invesco Interstate Bold"/>
          <w:b/>
          <w:bCs/>
          <w:sz w:val="28"/>
          <w:szCs w:val="28"/>
        </w:rPr>
        <w:t>a</w:t>
      </w:r>
      <w:r w:rsidR="000A39FF" w:rsidRPr="000A39FF">
        <w:rPr>
          <w:rFonts w:ascii="Invesco Interstate Bold" w:hAnsi="Invesco Interstate Bold"/>
          <w:b/>
          <w:bCs/>
          <w:sz w:val="28"/>
          <w:szCs w:val="28"/>
        </w:rPr>
        <w:t>lokace aktiv ve 3. čtvrtletí 2022</w:t>
      </w:r>
      <w:r w:rsidR="000A39FF"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  <w:r w:rsidRPr="000A39FF">
        <w:rPr>
          <w:rFonts w:ascii="Invesco Interstate Bold" w:hAnsi="Invesco Interstate Bold"/>
          <w:b/>
          <w:bCs/>
          <w:sz w:val="28"/>
          <w:szCs w:val="28"/>
        </w:rPr>
        <w:t xml:space="preserve">podle </w:t>
      </w:r>
      <w:proofErr w:type="spellStart"/>
      <w:r w:rsidRPr="000A39FF">
        <w:rPr>
          <w:rFonts w:ascii="Invesco Interstate Bold" w:hAnsi="Invesco Interstate Bold"/>
          <w:b/>
          <w:bCs/>
          <w:sz w:val="28"/>
          <w:szCs w:val="28"/>
        </w:rPr>
        <w:t>Invesca</w:t>
      </w:r>
      <w:proofErr w:type="spellEnd"/>
      <w:r w:rsidRPr="000A39FF">
        <w:rPr>
          <w:rFonts w:ascii="Invesco Interstate Bold" w:hAnsi="Invesco Interstate Bold"/>
          <w:b/>
          <w:bCs/>
          <w:sz w:val="28"/>
          <w:szCs w:val="28"/>
        </w:rPr>
        <w:t>?</w:t>
      </w:r>
    </w:p>
    <w:p w14:paraId="70DA4966" w14:textId="42DE37CE" w:rsidR="00FF694B" w:rsidRDefault="00FF694B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FF694B">
        <w:rPr>
          <w:rFonts w:ascii="Invesco Interstate Bold" w:hAnsi="Invesco Interstate Bold"/>
          <w:b/>
          <w:bCs/>
          <w:sz w:val="24"/>
          <w:szCs w:val="24"/>
        </w:rPr>
        <w:t xml:space="preserve">Hlavní centrální banky agresivně zpřísňují měnovou politiku, výnosy dluhopisů prudce rostou a ceny většiny aktiv klesají. Vzhledem k tomu, že výnosy amerických státních dluhopisů jsou na úrovních, které nebyly zaznamenány už víc než 10 let, a </w:t>
      </w:r>
      <w:r w:rsidR="000A39FF">
        <w:rPr>
          <w:rFonts w:ascii="Invesco Interstate Bold" w:hAnsi="Invesco Interstate Bold"/>
          <w:b/>
          <w:bCs/>
          <w:sz w:val="24"/>
          <w:szCs w:val="24"/>
        </w:rPr>
        <w:t>v </w:t>
      </w:r>
      <w:proofErr w:type="spellStart"/>
      <w:r w:rsidR="000A39FF">
        <w:rPr>
          <w:rFonts w:ascii="Invesco Interstate Bold" w:hAnsi="Invesco Interstate Bold"/>
          <w:b/>
          <w:bCs/>
          <w:sz w:val="24"/>
          <w:szCs w:val="24"/>
        </w:rPr>
        <w:t>Invescu</w:t>
      </w:r>
      <w:proofErr w:type="spellEnd"/>
      <w:r w:rsidR="000A39FF">
        <w:rPr>
          <w:rFonts w:ascii="Invesco Interstate Bold" w:hAnsi="Invesco Interstate Bold"/>
          <w:b/>
          <w:bCs/>
          <w:sz w:val="24"/>
          <w:szCs w:val="24"/>
        </w:rPr>
        <w:t xml:space="preserve"> jsou analytici</w:t>
      </w:r>
      <w:r w:rsidRPr="00FF694B">
        <w:rPr>
          <w:rFonts w:ascii="Invesco Interstate Bold" w:hAnsi="Invesco Interstate Bold"/>
          <w:b/>
          <w:bCs/>
          <w:sz w:val="24"/>
          <w:szCs w:val="24"/>
        </w:rPr>
        <w:t xml:space="preserve"> přesvědčeni, že riziko globální recese roste, rozhodli se v rámci alokace modelových aktiv převážit státní dluhopisy (poprvé od roku 2016). Vyvažuj</w:t>
      </w:r>
      <w:r w:rsidR="000A39FF">
        <w:rPr>
          <w:rFonts w:ascii="Invesco Interstate Bold" w:hAnsi="Invesco Interstate Bold"/>
          <w:b/>
          <w:bCs/>
          <w:sz w:val="24"/>
          <w:szCs w:val="24"/>
        </w:rPr>
        <w:t>í</w:t>
      </w:r>
      <w:r w:rsidRPr="00FF694B">
        <w:rPr>
          <w:rFonts w:ascii="Invesco Interstate Bold" w:hAnsi="Invesco Interstate Bold"/>
          <w:b/>
          <w:bCs/>
          <w:sz w:val="24"/>
          <w:szCs w:val="24"/>
        </w:rPr>
        <w:t xml:space="preserve"> to tím, že převážili také nemovitosti. Těchto změn dosáhli snížením váhy akcií (na </w:t>
      </w:r>
      <w:proofErr w:type="spellStart"/>
      <w:r w:rsidRPr="00FF694B">
        <w:rPr>
          <w:rFonts w:ascii="Invesco Interstate Bold" w:hAnsi="Invesco Interstate Bold"/>
          <w:b/>
          <w:bCs/>
          <w:sz w:val="24"/>
          <w:szCs w:val="24"/>
        </w:rPr>
        <w:t>Underweight</w:t>
      </w:r>
      <w:proofErr w:type="spellEnd"/>
      <w:r w:rsidRPr="00FF694B">
        <w:rPr>
          <w:rFonts w:ascii="Invesco Interstate Bold" w:hAnsi="Invesco Interstate Bold"/>
          <w:b/>
          <w:bCs/>
          <w:sz w:val="24"/>
          <w:szCs w:val="24"/>
        </w:rPr>
        <w:t xml:space="preserve">), úvěrů investičního stupně (stále </w:t>
      </w:r>
      <w:proofErr w:type="spellStart"/>
      <w:r w:rsidRPr="00FF694B">
        <w:rPr>
          <w:rFonts w:ascii="Invesco Interstate Bold" w:hAnsi="Invesco Interstate Bold"/>
          <w:b/>
          <w:bCs/>
          <w:sz w:val="24"/>
          <w:szCs w:val="24"/>
        </w:rPr>
        <w:t>Overweight</w:t>
      </w:r>
      <w:proofErr w:type="spellEnd"/>
      <w:r w:rsidRPr="00FF694B">
        <w:rPr>
          <w:rFonts w:ascii="Invesco Interstate Bold" w:hAnsi="Invesco Interstate Bold"/>
          <w:b/>
          <w:bCs/>
          <w:sz w:val="24"/>
          <w:szCs w:val="24"/>
        </w:rPr>
        <w:t>), úvěrů s vysokým výnosem (na nulu) a hotovosti (</w:t>
      </w:r>
      <w:proofErr w:type="spellStart"/>
      <w:r w:rsidRPr="00FF694B">
        <w:rPr>
          <w:rFonts w:ascii="Invesco Interstate Bold" w:hAnsi="Invesco Interstate Bold"/>
          <w:b/>
          <w:bCs/>
          <w:sz w:val="24"/>
          <w:szCs w:val="24"/>
        </w:rPr>
        <w:t>Overweight</w:t>
      </w:r>
      <w:proofErr w:type="spellEnd"/>
      <w:r w:rsidRPr="00FF694B">
        <w:rPr>
          <w:rFonts w:ascii="Invesco Interstate Bold" w:hAnsi="Invesco Interstate Bold"/>
          <w:b/>
          <w:bCs/>
          <w:sz w:val="24"/>
          <w:szCs w:val="24"/>
        </w:rPr>
        <w:t xml:space="preserve">). V rámci regionů </w:t>
      </w:r>
      <w:proofErr w:type="spellStart"/>
      <w:r w:rsidRPr="00FF694B"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 w:rsidRPr="00FF694B">
        <w:rPr>
          <w:rFonts w:ascii="Invesco Interstate Bold" w:hAnsi="Invesco Interstate Bold"/>
          <w:b/>
          <w:bCs/>
          <w:sz w:val="24"/>
          <w:szCs w:val="24"/>
        </w:rPr>
        <w:t xml:space="preserve"> upřednostňuje aktiva ve Spojeném království a na rozvíjejících se trzích (EM).</w:t>
      </w:r>
    </w:p>
    <w:p w14:paraId="7F04FC36" w14:textId="7B43C269" w:rsidR="00FF694B" w:rsidRPr="00FF694B" w:rsidRDefault="00FF694B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Bold" w:hAnsi="Invesco Interstate Bold"/>
          <w:b/>
          <w:bCs/>
          <w:sz w:val="24"/>
          <w:szCs w:val="24"/>
        </w:rPr>
        <w:br/>
      </w:r>
      <w:r w:rsidRPr="00FF694B">
        <w:rPr>
          <w:rFonts w:ascii="Invesco Interstate Light" w:eastAsiaTheme="minorEastAsia" w:hAnsi="Invesco Interstate Light"/>
          <w:sz w:val="22"/>
          <w:szCs w:val="22"/>
        </w:rPr>
        <w:t>V rámci regionů upřednostňuj</w:t>
      </w:r>
      <w:r w:rsidR="000A39FF">
        <w:rPr>
          <w:rFonts w:ascii="Invesco Interstate Light" w:eastAsiaTheme="minorEastAsia" w:hAnsi="Invesco Interstate Light"/>
          <w:sz w:val="22"/>
          <w:szCs w:val="22"/>
        </w:rPr>
        <w:t xml:space="preserve">e </w:t>
      </w:r>
      <w:proofErr w:type="spellStart"/>
      <w:r w:rsidR="000A39FF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FF694B">
        <w:rPr>
          <w:rFonts w:ascii="Invesco Interstate Light" w:eastAsiaTheme="minorEastAsia" w:hAnsi="Invesco Interstate Light"/>
          <w:sz w:val="22"/>
          <w:szCs w:val="22"/>
        </w:rPr>
        <w:t xml:space="preserve"> aktiva ve Spojeném království a na rozvíjejících se trzích (EM). Hlavní centrální banky, které byly příliš dlouho příliš expanzivní, začaly agresivně zpřísňovat, se zřejmými výjimkami v</w:t>
      </w:r>
      <w:r w:rsidR="000A39FF">
        <w:rPr>
          <w:rFonts w:ascii="Invesco Interstate Light" w:eastAsiaTheme="minorEastAsia" w:hAnsi="Invesco Interstate Light"/>
          <w:sz w:val="22"/>
          <w:szCs w:val="22"/>
        </w:rPr>
        <w:t> </w:t>
      </w:r>
      <w:r w:rsidRPr="00FF694B">
        <w:rPr>
          <w:rFonts w:ascii="Invesco Interstate Light" w:eastAsiaTheme="minorEastAsia" w:hAnsi="Invesco Interstate Light"/>
          <w:sz w:val="22"/>
          <w:szCs w:val="22"/>
        </w:rPr>
        <w:t>Číně</w:t>
      </w:r>
      <w:r w:rsidR="000A39FF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FF694B">
        <w:rPr>
          <w:rFonts w:ascii="Invesco Interstate Light" w:eastAsiaTheme="minorEastAsia" w:hAnsi="Invesco Interstate Light"/>
          <w:sz w:val="22"/>
          <w:szCs w:val="22"/>
        </w:rPr>
        <w:t xml:space="preserve">a Japonsku. Prudké zvýšení úrokových sazeb a přechod od kvantitativního uvolňování (QE) ke kvantitativnímu zpřísňování (QT) vyhnaly výnosy dluhopisů mnohem výše. Ačkoli recese není podle </w:t>
      </w:r>
      <w:proofErr w:type="spellStart"/>
      <w:r w:rsidRPr="00FF694B">
        <w:rPr>
          <w:rFonts w:ascii="Invesco Interstate Light" w:eastAsiaTheme="minorEastAsia" w:hAnsi="Invesco Interstate Light"/>
          <w:sz w:val="22"/>
          <w:szCs w:val="22"/>
        </w:rPr>
        <w:t>Invesca</w:t>
      </w:r>
      <w:proofErr w:type="spellEnd"/>
      <w:r w:rsidRPr="00FF694B">
        <w:rPr>
          <w:rFonts w:ascii="Invesco Interstate Light" w:eastAsiaTheme="minorEastAsia" w:hAnsi="Invesco Interstate Light"/>
          <w:sz w:val="22"/>
          <w:szCs w:val="22"/>
        </w:rPr>
        <w:t xml:space="preserve"> tím hlavním scénářem, tato rychlá změna podmínek zvyšuje její pravděpodobnost, zejména vzhledem k již probíhajícímu zpomalení. Není divu, že s růstem výnosů na úroveň, jaká již delší dobu nebyla vidět, a s rostoucím rizikem recese je pro nás těžké odolat třídě aktiv státních dluhopisů, které jsme se dříve vyhýbali.</w:t>
      </w:r>
    </w:p>
    <w:p w14:paraId="089C17C3" w14:textId="5A4A049E" w:rsidR="00412414" w:rsidRDefault="00412414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CA93476" w14:textId="221AA90F" w:rsidR="00FF694B" w:rsidRPr="00621F2F" w:rsidRDefault="00FF694B" w:rsidP="00FF694B">
      <w:pPr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AD1D2" wp14:editId="73D4572C">
            <wp:simplePos x="0" y="0"/>
            <wp:positionH relativeFrom="page">
              <wp:align>center</wp:align>
            </wp:positionH>
            <wp:positionV relativeFrom="paragraph">
              <wp:posOffset>224790</wp:posOffset>
            </wp:positionV>
            <wp:extent cx="5760720" cy="2406015"/>
            <wp:effectExtent l="0" t="0" r="0" b="0"/>
            <wp:wrapTight wrapText="bothSides">
              <wp:wrapPolygon edited="0">
                <wp:start x="0" y="0"/>
                <wp:lineTo x="0" y="21378"/>
                <wp:lineTo x="21500" y="21378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vesco Interstate Bold" w:hAnsi="Invesco Interstate Bold"/>
          <w:b/>
          <w:bCs/>
          <w:sz w:val="24"/>
          <w:szCs w:val="24"/>
        </w:rPr>
        <w:t>Graf: Předpokládané jednoleté výnosy pro globální aktiva a neutrální portfolio:</w:t>
      </w:r>
    </w:p>
    <w:p w14:paraId="64A01742" w14:textId="30771D3D" w:rsidR="00FF694B" w:rsidRPr="00412414" w:rsidRDefault="00FF694B" w:rsidP="00412414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15FF933" w14:textId="473170E0" w:rsidR="00FF694B" w:rsidRPr="00651AAE" w:rsidRDefault="00FF694B" w:rsidP="00651AAE">
      <w:pPr>
        <w:spacing w:line="240" w:lineRule="auto"/>
        <w:jc w:val="both"/>
        <w:rPr>
          <w:rFonts w:ascii="Invesco Interstate Light" w:eastAsiaTheme="minorEastAsia" w:hAnsi="Invesco Interstate Light"/>
        </w:rPr>
      </w:pPr>
      <w:r w:rsidRPr="00651AAE">
        <w:rPr>
          <w:rFonts w:ascii="Invesco Interstate Light" w:eastAsiaTheme="minorEastAsia" w:hAnsi="Invesco Interstate Light"/>
        </w:rPr>
        <w:t xml:space="preserve">Na základě anualizovaných výnosů. Výnosy jsou projektované, ale standardní odchylka výnosů vychází z pětiletých historických údajů. Velikost bublin je úměrná průměrné párové korelaci s ostatními aktivy. Hotovost je rovnoměrně vážený mix USD, EUR, GBP a JPY. Váhy neutrálního portfolia jsou </w:t>
      </w:r>
      <w:proofErr w:type="gramStart"/>
      <w:r w:rsidRPr="00651AAE">
        <w:rPr>
          <w:rFonts w:ascii="Invesco Interstate Light" w:eastAsiaTheme="minorEastAsia" w:hAnsi="Invesco Interstate Light"/>
        </w:rPr>
        <w:t>uvedeny  ke</w:t>
      </w:r>
      <w:proofErr w:type="gramEnd"/>
      <w:r w:rsidRPr="00651AAE">
        <w:rPr>
          <w:rFonts w:ascii="Invesco Interstate Light" w:eastAsiaTheme="minorEastAsia" w:hAnsi="Invesco Interstate Light"/>
        </w:rPr>
        <w:t xml:space="preserve"> dni 13. června 2022. Neexistuje žádná záruka, že se tyto názory naplní. Definice, metodika a prohlášení o vyloučení odpovědnosti jsou uvedeny v přílohách. Zdroj: BAML, MSCI, GSCI, FTSE, </w:t>
      </w:r>
      <w:proofErr w:type="spellStart"/>
      <w:r w:rsidRPr="00651AAE">
        <w:rPr>
          <w:rFonts w:ascii="Invesco Interstate Light" w:eastAsiaTheme="minorEastAsia" w:hAnsi="Invesco Interstate Light"/>
        </w:rPr>
        <w:t>Refinitiv</w:t>
      </w:r>
      <w:proofErr w:type="spellEnd"/>
      <w:r w:rsidRPr="00651AAE">
        <w:rPr>
          <w:rFonts w:ascii="Invesco Interstate Light" w:eastAsiaTheme="minorEastAsia" w:hAnsi="Invesco Interstate Light"/>
        </w:rPr>
        <w:t xml:space="preserve"> </w:t>
      </w:r>
      <w:proofErr w:type="spellStart"/>
      <w:r w:rsidRPr="00651AAE">
        <w:rPr>
          <w:rFonts w:ascii="Invesco Interstate Light" w:eastAsiaTheme="minorEastAsia" w:hAnsi="Invesco Interstate Light"/>
        </w:rPr>
        <w:t>Datastream</w:t>
      </w:r>
      <w:proofErr w:type="spellEnd"/>
      <w:r w:rsidRPr="00651AAE">
        <w:rPr>
          <w:rFonts w:ascii="Invesco Interstate Light" w:eastAsiaTheme="minorEastAsia" w:hAnsi="Invesco Interstate Light"/>
        </w:rPr>
        <w:t xml:space="preserve"> a </w:t>
      </w:r>
      <w:proofErr w:type="spellStart"/>
      <w:r w:rsidRPr="00651AAE">
        <w:rPr>
          <w:rFonts w:ascii="Invesco Interstate Light" w:eastAsiaTheme="minorEastAsia" w:hAnsi="Invesco Interstate Light"/>
        </w:rPr>
        <w:t>Invesco</w:t>
      </w:r>
      <w:proofErr w:type="spellEnd"/>
      <w:r w:rsidRPr="00651AAE">
        <w:rPr>
          <w:rFonts w:ascii="Invesco Interstate Light" w:eastAsiaTheme="minorEastAsia" w:hAnsi="Invesco Interstate Light"/>
        </w:rPr>
        <w:t>.</w:t>
      </w:r>
    </w:p>
    <w:p w14:paraId="791EF71B" w14:textId="33FAB029" w:rsidR="00FF694B" w:rsidRDefault="00FF694B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3069C51" w14:textId="4EC4216F" w:rsidR="00FF694B" w:rsidRPr="00342A88" w:rsidRDefault="00FF694B" w:rsidP="00651AAE">
      <w:pPr>
        <w:spacing w:line="240" w:lineRule="auto"/>
        <w:rPr>
          <w:rFonts w:ascii="Invesco Interstate Bold" w:hAnsi="Invesco Interstate Bold"/>
          <w:b/>
          <w:bCs/>
          <w:sz w:val="24"/>
          <w:szCs w:val="24"/>
        </w:rPr>
      </w:pPr>
      <w:r w:rsidRPr="00342A88">
        <w:rPr>
          <w:rFonts w:ascii="Invesco Interstate Bold" w:hAnsi="Invesco Interstate Bold"/>
          <w:b/>
          <w:bCs/>
          <w:sz w:val="24"/>
          <w:szCs w:val="24"/>
        </w:rPr>
        <w:t xml:space="preserve">Prognózy </w:t>
      </w:r>
      <w:proofErr w:type="spellStart"/>
      <w:r w:rsidRPr="00342A88">
        <w:rPr>
          <w:rFonts w:ascii="Invesco Interstate Bold" w:hAnsi="Invesco Interstate Bold"/>
          <w:b/>
          <w:bCs/>
          <w:sz w:val="24"/>
          <w:szCs w:val="24"/>
        </w:rPr>
        <w:t>Invesca</w:t>
      </w:r>
      <w:proofErr w:type="spellEnd"/>
      <w:r w:rsidRPr="00342A88">
        <w:rPr>
          <w:rFonts w:ascii="Invesco Interstate Bold" w:hAnsi="Invesco Interstate Bold"/>
          <w:b/>
          <w:bCs/>
          <w:sz w:val="24"/>
          <w:szCs w:val="24"/>
        </w:rPr>
        <w:t xml:space="preserve"> na příštích 12 měsíců jsou založeny na následujících předpokladech: </w:t>
      </w:r>
      <w:r w:rsidR="004C50D1">
        <w:rPr>
          <w:rFonts w:ascii="Invesco Interstate Bold" w:hAnsi="Invesco Interstate Bold"/>
          <w:b/>
          <w:bCs/>
          <w:sz w:val="24"/>
          <w:szCs w:val="24"/>
        </w:rPr>
        <w:br/>
      </w:r>
    </w:p>
    <w:p w14:paraId="5FA7BC98" w14:textId="77777777" w:rsidR="00FF694B" w:rsidRPr="00FF694B" w:rsidRDefault="00FF694B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FF694B">
        <w:rPr>
          <w:rFonts w:ascii="Invesco Interstate Light" w:eastAsiaTheme="minorEastAsia" w:hAnsi="Invesco Interstate Light"/>
          <w:sz w:val="22"/>
          <w:szCs w:val="22"/>
        </w:rPr>
        <w:t xml:space="preserve">- Globální růst HDP klesne na 2 %, přičemž některé ekonomiky se ocitnou v recesi </w:t>
      </w:r>
    </w:p>
    <w:p w14:paraId="40FB0616" w14:textId="77777777" w:rsidR="00FF694B" w:rsidRPr="00FF694B" w:rsidRDefault="00FF694B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FF694B">
        <w:rPr>
          <w:rFonts w:ascii="Invesco Interstate Light" w:eastAsiaTheme="minorEastAsia" w:hAnsi="Invesco Interstate Light"/>
          <w:sz w:val="22"/>
          <w:szCs w:val="22"/>
        </w:rPr>
        <w:t xml:space="preserve">- Globální inflace klesne, ale zůstane nad cíli mnoha centrálních bank </w:t>
      </w:r>
    </w:p>
    <w:p w14:paraId="79253EEC" w14:textId="41C5E835" w:rsidR="00FF694B" w:rsidRDefault="00FF694B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FF694B">
        <w:rPr>
          <w:rFonts w:ascii="Invesco Interstate Light" w:eastAsiaTheme="minorEastAsia" w:hAnsi="Invesco Interstate Light"/>
          <w:sz w:val="22"/>
          <w:szCs w:val="22"/>
        </w:rPr>
        <w:t xml:space="preserve">- Fed zvýší sazby více než ostatní centrální banky (PBOC uvolní) </w:t>
      </w:r>
    </w:p>
    <w:p w14:paraId="53D05EF8" w14:textId="77777777" w:rsidR="004C50D1" w:rsidRDefault="00342A88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03342B">
        <w:t xml:space="preserve">- </w:t>
      </w: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Výnosy dlouhodobých státních dluhopisů dosáhnou vrcholu a výnosové křivky se zploští </w:t>
      </w:r>
    </w:p>
    <w:p w14:paraId="5FA4FA50" w14:textId="6949BCAD" w:rsidR="00342A88" w:rsidRPr="00342A88" w:rsidRDefault="004C50D1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03342B">
        <w:lastRenderedPageBreak/>
        <w:t xml:space="preserve">- </w:t>
      </w:r>
      <w:r w:rsidR="00342A88" w:rsidRPr="00342A88">
        <w:rPr>
          <w:rFonts w:ascii="Invesco Interstate Light" w:eastAsiaTheme="minorEastAsia" w:hAnsi="Invesco Interstate Light"/>
          <w:sz w:val="22"/>
          <w:szCs w:val="22"/>
        </w:rPr>
        <w:t xml:space="preserve"> Úvěrové spready se rozšíří a dojde k nárůstu nesplácených úvěrů </w:t>
      </w:r>
    </w:p>
    <w:p w14:paraId="5723B843" w14:textId="0D243158" w:rsidR="00342A88" w:rsidRPr="00342A88" w:rsidRDefault="00342A88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- Americký dolar mírně oslabí v důsledku poklesu geopolitických rizikových prémií; </w:t>
      </w:r>
      <w:proofErr w:type="spellStart"/>
      <w:r w:rsidR="0003755A">
        <w:rPr>
          <w:rFonts w:ascii="Invesco Interstate Light" w:eastAsiaTheme="minorEastAsia" w:hAnsi="Invesco Interstate Light"/>
          <w:sz w:val="22"/>
          <w:szCs w:val="22"/>
        </w:rPr>
        <w:t>juan</w:t>
      </w:r>
      <w:proofErr w:type="spellEnd"/>
      <w:r w:rsidR="0003755A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oslabuje </w:t>
      </w:r>
    </w:p>
    <w:p w14:paraId="1060BD15" w14:textId="77777777" w:rsidR="00342A88" w:rsidRPr="00342A88" w:rsidRDefault="00342A88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- Růst dividend z akcií se zmírňuje a výnosy z akcií mírně rostou </w:t>
      </w:r>
    </w:p>
    <w:p w14:paraId="6A4280D4" w14:textId="77777777" w:rsidR="00342A88" w:rsidRPr="00342A88" w:rsidRDefault="00342A88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- Růst dividend z nemovitostí (REIT) se zmírňuje a výnosy se nemění/mírně rostou </w:t>
      </w:r>
    </w:p>
    <w:p w14:paraId="145539AF" w14:textId="77777777" w:rsidR="00342A88" w:rsidRPr="00342A88" w:rsidRDefault="00342A88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342A88">
        <w:rPr>
          <w:rFonts w:ascii="Invesco Interstate Light" w:eastAsiaTheme="minorEastAsia" w:hAnsi="Invesco Interstate Light"/>
          <w:sz w:val="22"/>
          <w:szCs w:val="22"/>
        </w:rPr>
        <w:t>- Komodity se potýkají se zpomalením globální ekonomiky</w:t>
      </w:r>
    </w:p>
    <w:p w14:paraId="606A0DEC" w14:textId="77777777" w:rsidR="00342A88" w:rsidRPr="00FF694B" w:rsidRDefault="00342A88" w:rsidP="00651AAE">
      <w:pPr>
        <w:spacing w:line="240" w:lineRule="auto"/>
        <w:rPr>
          <w:rFonts w:ascii="Invesco Interstate Light" w:eastAsiaTheme="minorEastAsia" w:hAnsi="Invesco Interstate Light"/>
          <w:sz w:val="22"/>
          <w:szCs w:val="22"/>
        </w:rPr>
      </w:pPr>
    </w:p>
    <w:p w14:paraId="444024C2" w14:textId="363420FE" w:rsidR="00342A88" w:rsidRDefault="00342A88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42A88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„Museli jsme se smířit s tím, že americký Federální rezervní systém (Fed) bude v nadcházejících měsících pokračovat ve velmi agresivní politice, ale věříme, že zpomalující ekonomika a klesající inflace ke konci roku sníží tempo zpřísňování,“ </w:t>
      </w:r>
      <w:r w:rsidRPr="00342A88">
        <w:rPr>
          <w:rFonts w:ascii="Invesco Interstate Light" w:eastAsiaTheme="minorEastAsia" w:hAnsi="Invesco Interstate Light"/>
          <w:sz w:val="22"/>
          <w:szCs w:val="22"/>
        </w:rPr>
        <w:t>vysvětluje Paul Jackson</w:t>
      </w:r>
      <w:r w:rsidR="004C50D1">
        <w:rPr>
          <w:rFonts w:ascii="Invesco Interstate Light" w:eastAsiaTheme="minorEastAsia" w:hAnsi="Invesco Interstate Light"/>
          <w:sz w:val="22"/>
          <w:szCs w:val="22"/>
        </w:rPr>
        <w:t>, g</w:t>
      </w:r>
      <w:r w:rsidR="004C50D1" w:rsidRPr="004C50D1">
        <w:rPr>
          <w:rFonts w:ascii="Invesco Interstate Light" w:eastAsiaTheme="minorEastAsia" w:hAnsi="Invesco Interstate Light"/>
          <w:sz w:val="22"/>
          <w:szCs w:val="22"/>
        </w:rPr>
        <w:t>lobální vedoucí výzkumu alokace aktiv ve spole</w:t>
      </w:r>
      <w:r w:rsidR="004C50D1" w:rsidRPr="004C50D1">
        <w:rPr>
          <w:rFonts w:ascii="Cambria" w:eastAsiaTheme="minorEastAsia" w:hAnsi="Cambria" w:cs="Cambria"/>
          <w:sz w:val="22"/>
          <w:szCs w:val="22"/>
        </w:rPr>
        <w:t>č</w:t>
      </w:r>
      <w:r w:rsidR="004C50D1" w:rsidRPr="004C50D1">
        <w:rPr>
          <w:rFonts w:ascii="Invesco Interstate Light" w:eastAsiaTheme="minorEastAsia" w:hAnsi="Invesco Interstate Light"/>
          <w:sz w:val="22"/>
          <w:szCs w:val="22"/>
        </w:rPr>
        <w:t xml:space="preserve">nosti </w:t>
      </w:r>
      <w:proofErr w:type="spellStart"/>
      <w:r w:rsidR="004C50D1" w:rsidRPr="004C50D1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. U ostatních centrálních bank se očekává menší agresivita, zejména u ECB a Bank </w:t>
      </w:r>
      <w:proofErr w:type="spellStart"/>
      <w:r w:rsidRPr="00342A88">
        <w:rPr>
          <w:rFonts w:ascii="Invesco Interstate Light" w:eastAsiaTheme="minorEastAsia" w:hAnsi="Invesco Interstate Light"/>
          <w:sz w:val="22"/>
          <w:szCs w:val="22"/>
        </w:rPr>
        <w:t>of</w:t>
      </w:r>
      <w:proofErr w:type="spellEnd"/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342A88">
        <w:rPr>
          <w:rFonts w:ascii="Invesco Interstate Light" w:eastAsiaTheme="minorEastAsia" w:hAnsi="Invesco Interstate Light"/>
          <w:sz w:val="22"/>
          <w:szCs w:val="22"/>
        </w:rPr>
        <w:t>England</w:t>
      </w:r>
      <w:proofErr w:type="spellEnd"/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 (BOE), ale v Evropě je pravděpodobnější recese než v USA. Důležité je, že ačkoli s</w:t>
      </w:r>
      <w:r w:rsidR="0003755A">
        <w:rPr>
          <w:rFonts w:ascii="Invesco Interstate Light" w:eastAsiaTheme="minorEastAsia" w:hAnsi="Invesco Interstate Light"/>
          <w:sz w:val="22"/>
          <w:szCs w:val="22"/>
        </w:rPr>
        <w:t xml:space="preserve">e </w:t>
      </w:r>
      <w:proofErr w:type="spellStart"/>
      <w:r w:rsidR="0003755A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="0003755A">
        <w:rPr>
          <w:rFonts w:ascii="Invesco Interstate Light" w:eastAsiaTheme="minorEastAsia" w:hAnsi="Invesco Interstate Light"/>
          <w:sz w:val="22"/>
          <w:szCs w:val="22"/>
        </w:rPr>
        <w:t xml:space="preserve"> domnívá</w:t>
      </w: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, že výnosy dluhopisů mohou v dlouhodobém horizontu potřebovat růst, </w:t>
      </w:r>
      <w:r w:rsidR="0003755A">
        <w:rPr>
          <w:rFonts w:ascii="Invesco Interstate Light" w:eastAsiaTheme="minorEastAsia" w:hAnsi="Invesco Interstate Light"/>
          <w:sz w:val="22"/>
          <w:szCs w:val="22"/>
        </w:rPr>
        <w:t xml:space="preserve">je </w:t>
      </w:r>
      <w:r w:rsidRPr="00342A88">
        <w:rPr>
          <w:rFonts w:ascii="Invesco Interstate Light" w:eastAsiaTheme="minorEastAsia" w:hAnsi="Invesco Interstate Light"/>
          <w:sz w:val="22"/>
          <w:szCs w:val="22"/>
        </w:rPr>
        <w:t>předpokl</w:t>
      </w:r>
      <w:r w:rsidR="0003755A">
        <w:rPr>
          <w:rFonts w:ascii="Invesco Interstate Light" w:eastAsiaTheme="minorEastAsia" w:hAnsi="Invesco Interstate Light"/>
          <w:sz w:val="22"/>
          <w:szCs w:val="22"/>
        </w:rPr>
        <w:t>ad</w:t>
      </w:r>
      <w:r w:rsidRPr="00342A88">
        <w:rPr>
          <w:rFonts w:ascii="Invesco Interstate Light" w:eastAsiaTheme="minorEastAsia" w:hAnsi="Invesco Interstate Light"/>
          <w:sz w:val="22"/>
          <w:szCs w:val="22"/>
        </w:rPr>
        <w:t>, že dlouhodobé výnosy budou pro tento cyklus v krátké době vrcholit, a o</w:t>
      </w:r>
      <w:r w:rsidR="007A3A07">
        <w:rPr>
          <w:rFonts w:ascii="Invesco Interstate Light" w:eastAsiaTheme="minorEastAsia" w:hAnsi="Invesco Interstate Light"/>
          <w:sz w:val="22"/>
          <w:szCs w:val="22"/>
        </w:rPr>
        <w:t>čekává se</w:t>
      </w: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 zploštění (a možná i inverzi) výnosových křivek. Zřejmou výjimkou jsou nemovitosti (REIT), kde přiměřené výnosy nabízejí určitý příjem a kde </w:t>
      </w:r>
      <w:r w:rsidR="007A3A07">
        <w:rPr>
          <w:rFonts w:ascii="Invesco Interstate Light" w:eastAsiaTheme="minorEastAsia" w:hAnsi="Invesco Interstate Light"/>
          <w:sz w:val="22"/>
          <w:szCs w:val="22"/>
        </w:rPr>
        <w:t xml:space="preserve">se očekává </w:t>
      </w: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mírný růst nájmů a dividend. </w:t>
      </w:r>
      <w:r w:rsidR="007A3A07">
        <w:rPr>
          <w:rFonts w:ascii="Invesco Interstate Light" w:eastAsiaTheme="minorEastAsia" w:hAnsi="Invesco Interstate Light"/>
          <w:sz w:val="22"/>
          <w:szCs w:val="22"/>
        </w:rPr>
        <w:t>„</w:t>
      </w:r>
      <w:r w:rsidRPr="007A3A07">
        <w:rPr>
          <w:rFonts w:ascii="Invesco Interstate Light" w:eastAsiaTheme="minorEastAsia" w:hAnsi="Invesco Interstate Light"/>
          <w:i/>
          <w:iCs/>
          <w:sz w:val="22"/>
          <w:szCs w:val="22"/>
        </w:rPr>
        <w:t>Očekáváme také, že výnosy nemovitostí i akcií budou stabilní až mírně vyšší, přičemž tlak na růst způsobený rizikem recese bude vyvážen tím, že výnosy státních dluhopisů mohou klesat. V našem optimalizačním procesu upřednostňujeme státní dluhopisy a dluhopisy investičního stupně (IG) na úkor akcií a komodit včetně zlata</w:t>
      </w:r>
      <w:r w:rsidR="007A3A07">
        <w:rPr>
          <w:rFonts w:ascii="Invesco Interstate Light" w:eastAsiaTheme="minorEastAsia" w:hAnsi="Invesco Interstate Light"/>
          <w:sz w:val="22"/>
          <w:szCs w:val="22"/>
        </w:rPr>
        <w:t>,“ dodává Paul Jackson.</w:t>
      </w:r>
      <w:r w:rsidR="00EB0C5B">
        <w:rPr>
          <w:rFonts w:ascii="Invesco Interstate Light" w:eastAsiaTheme="minorEastAsia" w:hAnsi="Invesco Interstate Light"/>
          <w:sz w:val="22"/>
          <w:szCs w:val="22"/>
        </w:rPr>
        <w:t xml:space="preserve"> „</w:t>
      </w:r>
      <w:r w:rsidRPr="00EB0C5B">
        <w:rPr>
          <w:rFonts w:ascii="Invesco Interstate Light" w:eastAsiaTheme="minorEastAsia" w:hAnsi="Invesco Interstate Light"/>
          <w:i/>
          <w:iCs/>
          <w:sz w:val="22"/>
          <w:szCs w:val="22"/>
        </w:rPr>
        <w:t>Při určování naší modelové alokace aktiv se řídíme výsledky optimalizace, po nedávných prudkých poklesech se obáváme příliš negativního postoje k akciím a vidíme, že výnosy dluhopisů mohou ještě vzrůst. Největší změnou je, že poprvé od září 2016 převažujeme pozici u státních dluhopisů. Alokaci zvyšujeme na 30 % oproti neutrálním 25 % a oproti předchozím 10 % (minimum, které povolujeme). V rámci vládních dluhopisů stále upřednostňujeme region EM (nikoliv Čínu) a nyní také převažujeme eurozónu, Velkou Británii a USA.</w:t>
      </w:r>
      <w:r w:rsidR="00EB0C5B" w:rsidRPr="00EB0C5B">
        <w:rPr>
          <w:rFonts w:ascii="Invesco Interstate Light" w:eastAsiaTheme="minorEastAsia" w:hAnsi="Invesco Interstate Light"/>
          <w:i/>
          <w:iCs/>
          <w:sz w:val="22"/>
          <w:szCs w:val="22"/>
        </w:rPr>
        <w:t>“</w:t>
      </w:r>
    </w:p>
    <w:p w14:paraId="25AF7ADF" w14:textId="77777777" w:rsidR="00342A88" w:rsidRPr="00342A88" w:rsidRDefault="00342A88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7485733" w14:textId="3E9526EA" w:rsidR="00412414" w:rsidRPr="00412414" w:rsidRDefault="00342A88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DC503D" wp14:editId="6BA194CF">
            <wp:simplePos x="0" y="0"/>
            <wp:positionH relativeFrom="margin">
              <wp:posOffset>-15240</wp:posOffset>
            </wp:positionH>
            <wp:positionV relativeFrom="paragraph">
              <wp:posOffset>124460</wp:posOffset>
            </wp:positionV>
            <wp:extent cx="5760720" cy="1421765"/>
            <wp:effectExtent l="0" t="0" r="0" b="6985"/>
            <wp:wrapThrough wrapText="bothSides">
              <wp:wrapPolygon edited="0">
                <wp:start x="0" y="0"/>
                <wp:lineTo x="0" y="21417"/>
                <wp:lineTo x="21500" y="21417"/>
                <wp:lineTo x="21500" y="0"/>
                <wp:lineTo x="0" y="0"/>
              </wp:wrapPolygon>
            </wp:wrapThrough>
            <wp:docPr id="4" name="Obrázek 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A811D" w14:textId="2DA101C1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7C344E57" w14:textId="77777777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26DA8BB9" w14:textId="77777777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0A1F92B6" w14:textId="77777777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19B692ED" w14:textId="77777777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0B8BFABC" w14:textId="77777777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77C2142B" w14:textId="77777777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2E9C9A3D" w14:textId="77777777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4F0C6836" w14:textId="003A2CAE" w:rsidR="00342A88" w:rsidRPr="007A3A07" w:rsidRDefault="00651AAE" w:rsidP="00651AAE">
      <w:pPr>
        <w:spacing w:line="240" w:lineRule="auto"/>
        <w:jc w:val="both"/>
        <w:rPr>
          <w:rFonts w:ascii="Invesco Interstate Bold" w:hAnsi="Invesco Interstate Bold"/>
        </w:rPr>
      </w:pPr>
      <w:r w:rsidRPr="007A3A07">
        <w:rPr>
          <w:rFonts w:ascii="Invesco Interstate Bold" w:hAnsi="Invesco Interstate Bold"/>
        </w:rPr>
        <w:t xml:space="preserve">Zdroj: </w:t>
      </w:r>
      <w:proofErr w:type="spellStart"/>
      <w:r w:rsidR="007A3A07" w:rsidRPr="007A3A07">
        <w:rPr>
          <w:rFonts w:ascii="Invesco Interstate Bold" w:hAnsi="Invesco Interstate Bold"/>
        </w:rPr>
        <w:t>Invesco</w:t>
      </w:r>
      <w:proofErr w:type="spellEnd"/>
    </w:p>
    <w:p w14:paraId="5F058F2D" w14:textId="77777777" w:rsidR="00342A88" w:rsidRDefault="00342A88" w:rsidP="00651AAE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1A9D2D93" w14:textId="77777777" w:rsidR="00342A88" w:rsidRDefault="00342A88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91AE42A" w14:textId="3C72C931" w:rsidR="00342A88" w:rsidRPr="00342A88" w:rsidRDefault="00342A88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Paul Jackson vysvětluje postup </w:t>
      </w:r>
      <w:proofErr w:type="spellStart"/>
      <w:r w:rsidRPr="00342A88">
        <w:rPr>
          <w:rFonts w:ascii="Invesco Interstate Light" w:eastAsiaTheme="minorEastAsia" w:hAnsi="Invesco Interstate Light"/>
          <w:sz w:val="22"/>
          <w:szCs w:val="22"/>
        </w:rPr>
        <w:t>Invesca</w:t>
      </w:r>
      <w:proofErr w:type="spellEnd"/>
      <w:r w:rsidRPr="00342A88">
        <w:rPr>
          <w:rFonts w:ascii="Invesco Interstate Light" w:eastAsiaTheme="minorEastAsia" w:hAnsi="Invesco Interstate Light"/>
          <w:sz w:val="22"/>
          <w:szCs w:val="22"/>
        </w:rPr>
        <w:t xml:space="preserve">: </w:t>
      </w:r>
      <w:r w:rsidRPr="00342A88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„Růst výnosů státních dluhopisů v mnoha regionech zvětšil rozdíl mezi výnosy a dividendovými výnosy akcií (v USA je tento rozdíl největší od dubna 2010). Toto a naše obavy z rizika recese nás tlačí k tomu, abychom částečně zvýšili váhy státních dluhopisů snížením alokací do akcií (z dřívějších 50 % na mírně </w:t>
      </w:r>
      <w:proofErr w:type="spellStart"/>
      <w:r w:rsidRPr="00342A88">
        <w:rPr>
          <w:rFonts w:ascii="Invesco Interstate Light" w:eastAsiaTheme="minorEastAsia" w:hAnsi="Invesco Interstate Light"/>
          <w:i/>
          <w:iCs/>
          <w:sz w:val="22"/>
          <w:szCs w:val="22"/>
        </w:rPr>
        <w:t>podváženou</w:t>
      </w:r>
      <w:proofErr w:type="spellEnd"/>
      <w:r w:rsidRPr="00342A88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úroveň 40 %). Po březnovém převážení je to rychlý obrat, ale okolnosti se od té doby hodně změnily. Snižujeme alokaci do akcií v Evropě (včetně Velké Británie) a Japonsku a současně zvyšujeme alokaci akcií v Číně. Zde považujeme ocenění za atraktivní a očekáváme zrychlení ekonomiky ve druhé polovině roku. Nyní máme </w:t>
      </w:r>
      <w:proofErr w:type="spellStart"/>
      <w:r w:rsidRPr="00342A88">
        <w:rPr>
          <w:rFonts w:ascii="Invesco Interstate Light" w:eastAsiaTheme="minorEastAsia" w:hAnsi="Invesco Interstate Light"/>
          <w:i/>
          <w:iCs/>
          <w:sz w:val="22"/>
          <w:szCs w:val="22"/>
        </w:rPr>
        <w:t>podváženo</w:t>
      </w:r>
      <w:proofErr w:type="spellEnd"/>
      <w:r w:rsidRPr="00342A88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nejen amerických akcií, ale také u akcií v Evropě bez Velké Británie, zatímco jinde (zejména v EM) máme </w:t>
      </w:r>
      <w:proofErr w:type="spellStart"/>
      <w:r w:rsidRPr="00342A88">
        <w:rPr>
          <w:rFonts w:ascii="Invesco Interstate Light" w:eastAsiaTheme="minorEastAsia" w:hAnsi="Invesco Interstate Light"/>
          <w:i/>
          <w:iCs/>
          <w:sz w:val="22"/>
          <w:szCs w:val="22"/>
        </w:rPr>
        <w:t>nadváženo</w:t>
      </w:r>
      <w:proofErr w:type="spellEnd"/>
      <w:r w:rsidRPr="00342A88">
        <w:rPr>
          <w:rFonts w:ascii="Invesco Interstate Light" w:eastAsiaTheme="minorEastAsia" w:hAnsi="Invesco Interstate Light"/>
          <w:i/>
          <w:iCs/>
          <w:sz w:val="22"/>
          <w:szCs w:val="22"/>
        </w:rPr>
        <w:t>.“</w:t>
      </w:r>
    </w:p>
    <w:p w14:paraId="2143532C" w14:textId="2C471D56" w:rsidR="00412414" w:rsidRPr="00412414" w:rsidRDefault="00412414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C5E5BC8" w14:textId="3096FA96" w:rsidR="00D3431C" w:rsidRPr="00D3431C" w:rsidRDefault="00D3431C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D3431C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Toto snížení rizikovosti v modelové alokaci aktiv je prohloubeno vyřazením úvěru s vysokým výnosem (HY), který byl dříve na 2 % </w:t>
      </w:r>
      <w:proofErr w:type="spellStart"/>
      <w:r w:rsidRPr="00D3431C">
        <w:rPr>
          <w:rFonts w:ascii="Invesco Interstate Light" w:eastAsiaTheme="minorEastAsia" w:hAnsi="Invesco Interstate Light"/>
          <w:sz w:val="22"/>
          <w:szCs w:val="22"/>
        </w:rPr>
        <w:t>podváženého</w:t>
      </w:r>
      <w:proofErr w:type="spellEnd"/>
      <w:r w:rsidRPr="00D3431C">
        <w:rPr>
          <w:rFonts w:ascii="Invesco Interstate Light" w:eastAsiaTheme="minorEastAsia" w:hAnsi="Invesco Interstate Light"/>
          <w:sz w:val="22"/>
          <w:szCs w:val="22"/>
        </w:rPr>
        <w:t xml:space="preserve"> podílu. Ačkoli výnosy a spready vůči vládním výnosům vzrostly, </w:t>
      </w:r>
      <w:r w:rsidR="00EB0C5B">
        <w:rPr>
          <w:rFonts w:ascii="Invesco Interstate Light" w:eastAsiaTheme="minorEastAsia" w:hAnsi="Invesco Interstate Light"/>
          <w:sz w:val="22"/>
          <w:szCs w:val="22"/>
        </w:rPr>
        <w:t>je obava z</w:t>
      </w:r>
      <w:r w:rsidRPr="00D3431C">
        <w:rPr>
          <w:rFonts w:ascii="Invesco Interstate Light" w:eastAsiaTheme="minorEastAsia" w:hAnsi="Invesco Interstate Light"/>
          <w:sz w:val="22"/>
          <w:szCs w:val="22"/>
        </w:rPr>
        <w:t xml:space="preserve"> dalšího růstu spreadů a většího počtu selhání v důsledku zpomalení ekonomik</w:t>
      </w:r>
      <w:r>
        <w:rPr>
          <w:rFonts w:ascii="Invesco Interstate Light" w:eastAsiaTheme="minorEastAsia" w:hAnsi="Invesco Interstate Light"/>
          <w:sz w:val="22"/>
          <w:szCs w:val="22"/>
        </w:rPr>
        <w:t>.</w:t>
      </w:r>
      <w:r w:rsidRPr="00D3431C">
        <w:rPr>
          <w:rFonts w:ascii="Invesco Interstate Light" w:eastAsiaTheme="minorEastAsia" w:hAnsi="Invesco Interstate Light"/>
          <w:sz w:val="22"/>
          <w:szCs w:val="22"/>
        </w:rPr>
        <w:t xml:space="preserve"> Určité snížení rizikovosti kompenzuje snížení alokací do nástrojů s investičním stupněm a hotovosti spolu s nárůstem nemovitostí. </w:t>
      </w:r>
      <w:r w:rsidR="00EB0C5B">
        <w:rPr>
          <w:rFonts w:ascii="Invesco Interstate Light" w:eastAsiaTheme="minorEastAsia" w:hAnsi="Invesco Interstate Light"/>
          <w:sz w:val="22"/>
          <w:szCs w:val="22"/>
        </w:rPr>
        <w:t>P</w:t>
      </w:r>
      <w:r w:rsidRPr="00D3431C">
        <w:rPr>
          <w:rFonts w:ascii="Invesco Interstate Light" w:eastAsiaTheme="minorEastAsia" w:hAnsi="Invesco Interstate Light"/>
          <w:sz w:val="22"/>
          <w:szCs w:val="22"/>
        </w:rPr>
        <w:t xml:space="preserve">ředpokládané výnosy naznačují, že nemovitosti budou v příštích 12 měsících nejvýnosnějším aktivem, a proto </w:t>
      </w:r>
      <w:proofErr w:type="spellStart"/>
      <w:r w:rsidR="00EB0C5B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="00EB0C5B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D3431C">
        <w:rPr>
          <w:rFonts w:ascii="Invesco Interstate Light" w:eastAsiaTheme="minorEastAsia" w:hAnsi="Invesco Interstate Light"/>
          <w:sz w:val="22"/>
          <w:szCs w:val="22"/>
        </w:rPr>
        <w:t>navdvažuje</w:t>
      </w:r>
      <w:proofErr w:type="spellEnd"/>
      <w:r w:rsidRPr="00D3431C">
        <w:rPr>
          <w:rFonts w:ascii="Invesco Interstate Light" w:eastAsiaTheme="minorEastAsia" w:hAnsi="Invesco Interstate Light"/>
          <w:sz w:val="22"/>
          <w:szCs w:val="22"/>
        </w:rPr>
        <w:t xml:space="preserve"> na 10 % (z neutrálních 8 %). </w:t>
      </w:r>
    </w:p>
    <w:p w14:paraId="2EDA790E" w14:textId="77777777" w:rsidR="00412414" w:rsidRPr="00412414" w:rsidRDefault="00412414" w:rsidP="00651AA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49935EF" w14:textId="5238915B" w:rsidR="00FE7A02" w:rsidRPr="00D3431C" w:rsidRDefault="00D3431C" w:rsidP="00651AAE">
      <w:pPr>
        <w:spacing w:line="240" w:lineRule="auto"/>
        <w:jc w:val="both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D3431C">
        <w:rPr>
          <w:rFonts w:ascii="Invesco Interstate Light" w:eastAsiaTheme="minorEastAsia" w:hAnsi="Invesco Interstate Light"/>
          <w:sz w:val="22"/>
          <w:szCs w:val="22"/>
        </w:rPr>
        <w:t xml:space="preserve">Paul Jackson uzavírá: </w:t>
      </w:r>
      <w:r w:rsidRPr="00D3431C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„Obzvláště se nám líbí nemovitosti rozvojových trhů díky výnosu 5,9 %. Zvyšujeme také alokace ve Velké Británii a USA a snižujeme v Evropě, mimo Velkou Británii. Hotovost si zachovává mnoho svých diverzifikačních vlastností (nízká volatilita a nízká korelace s ostatními aktivy) a úrokové sazby rostou. Naše projekce však naznačují lepší výnosy státních dluhopisů, které podle našeho názoru nyní nabízejí kompenzaci za vyšší volatilitu. Proto jsme snížili alokaci hotovosti na 5 %, což je stále nad úrovní neutrální (2,5 %), je to ale méně než předchozích 10 %. Na druhou stranu si myslíme, že zlato je drahé. Naše projekce naznačují, že výnosy z cenných papírů s investičním stupněm budou jen o něco nižší než ze státních dluhopisů, ale s větší volatilitou. Alokaci cenných papírů s investičním stupněm jsme snížili z maximálních 20 % na stále převážených 15 %, přičemž jsme snížili pozice v USA, Japonsku a Číně. Komodity jsme vyřadili příliš brzy a propásli jsme letošní </w:t>
      </w:r>
      <w:proofErr w:type="spellStart"/>
      <w:r w:rsidRPr="00D3431C">
        <w:rPr>
          <w:rFonts w:ascii="Invesco Interstate Light" w:eastAsiaTheme="minorEastAsia" w:hAnsi="Invesco Interstate Light"/>
          <w:i/>
          <w:iCs/>
          <w:sz w:val="22"/>
          <w:szCs w:val="22"/>
        </w:rPr>
        <w:t>rally</w:t>
      </w:r>
      <w:proofErr w:type="spellEnd"/>
      <w:r w:rsidRPr="00D3431C">
        <w:rPr>
          <w:rFonts w:ascii="Invesco Interstate Light" w:eastAsiaTheme="minorEastAsia" w:hAnsi="Invesco Interstate Light"/>
          <w:i/>
          <w:iCs/>
          <w:sz w:val="22"/>
          <w:szCs w:val="22"/>
        </w:rPr>
        <w:t>. Pochybujeme však, že ceny mohou jít výrazně výše, a držíme se nulové alokace. Z regionální perspektivy nadále preferujeme aktiva Velké Británie a rozvojových trhů. Aktiva obou oblastí jsou podle nás relativně levná a zároveň těží z vysokých cen komodit. A na závěr předpokládáme, že válka na Ukrajině bude pokračovat v současné intenzitě, ale uvažujeme také dva alternativní scénáře: rychlé řešení a energetickou krizi.“</w:t>
      </w:r>
    </w:p>
    <w:p w14:paraId="1C64D451" w14:textId="6331D8E0" w:rsidR="00D3431C" w:rsidRDefault="00D3431C" w:rsidP="00651AAE">
      <w:pPr>
        <w:spacing w:line="240" w:lineRule="auto"/>
        <w:jc w:val="both"/>
      </w:pPr>
    </w:p>
    <w:p w14:paraId="0A5A0516" w14:textId="77777777" w:rsidR="00D3431C" w:rsidRPr="00D3431C" w:rsidRDefault="00D3431C" w:rsidP="00651AAE">
      <w:pPr>
        <w:spacing w:line="240" w:lineRule="auto"/>
        <w:jc w:val="both"/>
      </w:pPr>
    </w:p>
    <w:p w14:paraId="456D0E8C" w14:textId="77777777" w:rsidR="00D82F78" w:rsidRDefault="00D82F7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lastRenderedPageBreak/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1D8AC0F5" w14:textId="77777777" w:rsidR="00861B48" w:rsidRPr="00873CBF" w:rsidRDefault="005A7C57" w:rsidP="00861B48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>
        <w:fldChar w:fldCharType="begin"/>
      </w:r>
      <w:r>
        <w:instrText>HYPERLINK \o "blocked::http://www.crestcom.cz http://www.crestcom.cz/"</w:instrText>
      </w:r>
      <w:r>
        <w:fldChar w:fldCharType="separate"/>
      </w:r>
      <w:r w:rsidR="00FD1151">
        <w:rPr>
          <w:rFonts w:ascii="Times New Roman" w:hAnsi="Times New Roman"/>
          <w:b/>
          <w:bCs/>
        </w:rPr>
        <w:t>Chyba! Odkaz není platný.</w:t>
      </w:r>
      <w:r>
        <w:rPr>
          <w:rFonts w:ascii="Times New Roman" w:hAnsi="Times New Roman"/>
          <w:b/>
          <w:bCs/>
        </w:rPr>
        <w:fldChar w:fldCharType="end"/>
      </w:r>
    </w:p>
    <w:p w14:paraId="22D43DA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3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4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BA1B" w14:textId="77777777" w:rsidR="00856CD6" w:rsidRDefault="00856CD6">
      <w:r>
        <w:separator/>
      </w:r>
    </w:p>
  </w:endnote>
  <w:endnote w:type="continuationSeparator" w:id="0">
    <w:p w14:paraId="5E6F874D" w14:textId="77777777" w:rsidR="00856CD6" w:rsidRDefault="00856CD6">
      <w:r>
        <w:continuationSeparator/>
      </w:r>
    </w:p>
  </w:endnote>
  <w:endnote w:type="continuationNotice" w:id="1">
    <w:p w14:paraId="4979D644" w14:textId="77777777" w:rsidR="00856CD6" w:rsidRDefault="00856C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F067" w14:textId="77777777" w:rsidR="00856CD6" w:rsidRDefault="00856CD6">
      <w:r>
        <w:separator/>
      </w:r>
    </w:p>
  </w:footnote>
  <w:footnote w:type="continuationSeparator" w:id="0">
    <w:p w14:paraId="7A20CCCA" w14:textId="77777777" w:rsidR="00856CD6" w:rsidRDefault="00856CD6">
      <w:r>
        <w:continuationSeparator/>
      </w:r>
    </w:p>
  </w:footnote>
  <w:footnote w:type="continuationNotice" w:id="1">
    <w:p w14:paraId="30BB342D" w14:textId="77777777" w:rsidR="00856CD6" w:rsidRDefault="00856C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D70"/>
    <w:multiLevelType w:val="multilevel"/>
    <w:tmpl w:val="11820CCE"/>
    <w:numStyleLink w:val="FormatvorlageAufgezhlt"/>
  </w:abstractNum>
  <w:abstractNum w:abstractNumId="7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0B23"/>
    <w:multiLevelType w:val="multilevel"/>
    <w:tmpl w:val="11820CCE"/>
    <w:numStyleLink w:val="FormatvorlageAufgezhlt"/>
  </w:abstractNum>
  <w:abstractNum w:abstractNumId="10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03C3"/>
    <w:multiLevelType w:val="multilevel"/>
    <w:tmpl w:val="11820CCE"/>
    <w:numStyleLink w:val="FormatvorlageAufgezhlt"/>
  </w:abstractNum>
  <w:abstractNum w:abstractNumId="14" w15:restartNumberingAfterBreak="0">
    <w:nsid w:val="6C6C4721"/>
    <w:multiLevelType w:val="multilevel"/>
    <w:tmpl w:val="11820CCE"/>
    <w:numStyleLink w:val="FormatvorlageAufgezhlt"/>
  </w:abstractNum>
  <w:abstractNum w:abstractNumId="15" w15:restartNumberingAfterBreak="0">
    <w:nsid w:val="74E5380B"/>
    <w:multiLevelType w:val="multilevel"/>
    <w:tmpl w:val="11820CCE"/>
    <w:numStyleLink w:val="FormatvorlageAufgezhlt"/>
  </w:abstractNum>
  <w:abstractNum w:abstractNumId="16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7"/>
  </w:num>
  <w:num w:numId="3" w16cid:durableId="1282105589">
    <w:abstractNumId w:val="11"/>
  </w:num>
  <w:num w:numId="4" w16cid:durableId="1617441895">
    <w:abstractNumId w:val="8"/>
  </w:num>
  <w:num w:numId="5" w16cid:durableId="1267425896">
    <w:abstractNumId w:val="9"/>
  </w:num>
  <w:num w:numId="6" w16cid:durableId="1792238606">
    <w:abstractNumId w:val="13"/>
  </w:num>
  <w:num w:numId="7" w16cid:durableId="190919629">
    <w:abstractNumId w:val="14"/>
  </w:num>
  <w:num w:numId="8" w16cid:durableId="2083285618">
    <w:abstractNumId w:val="1"/>
  </w:num>
  <w:num w:numId="9" w16cid:durableId="1653213567">
    <w:abstractNumId w:val="15"/>
  </w:num>
  <w:num w:numId="10" w16cid:durableId="849561851">
    <w:abstractNumId w:val="6"/>
  </w:num>
  <w:num w:numId="11" w16cid:durableId="1899129255">
    <w:abstractNumId w:val="3"/>
  </w:num>
  <w:num w:numId="12" w16cid:durableId="1348407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16"/>
  </w:num>
  <w:num w:numId="14" w16cid:durableId="2009676695">
    <w:abstractNumId w:val="17"/>
  </w:num>
  <w:num w:numId="15" w16cid:durableId="1629623239">
    <w:abstractNumId w:val="10"/>
  </w:num>
  <w:num w:numId="16" w16cid:durableId="1975720235">
    <w:abstractNumId w:val="4"/>
  </w:num>
  <w:num w:numId="17" w16cid:durableId="103501300">
    <w:abstractNumId w:val="2"/>
  </w:num>
  <w:num w:numId="18" w16cid:durableId="1434014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ka.kroh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1340</Words>
  <Characters>7861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Dokumenty Crestcom</cp:lastModifiedBy>
  <cp:revision>2</cp:revision>
  <cp:lastPrinted>2021-02-17T20:24:00Z</cp:lastPrinted>
  <dcterms:created xsi:type="dcterms:W3CDTF">2022-07-08T11:09:00Z</dcterms:created>
  <dcterms:modified xsi:type="dcterms:W3CDTF">2022-07-08T11:09:00Z</dcterms:modified>
</cp:coreProperties>
</file>